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140"/>
        <w:jc w:val="center"/>
        <w:rPr>
          <w:b w:val="1"/>
          <w:bCs w:val="1"/>
          <w:sz w:val="24"/>
          <w:szCs w:val="24"/>
        </w:rPr>
      </w:pPr>
      <w:r w:rsidDel="00000000" w:rsidR="00000000" w:rsidRPr="00000000">
        <w:rPr>
          <w:b w:val="1"/>
          <w:bCs w:val="1"/>
          <w:sz w:val="24"/>
          <w:szCs w:val="24"/>
          <w:rtl w:val="0"/>
        </w:rPr>
        <w:t xml:space="preserve">Anexo I - Editais 02 e 03/2026 Bolsas Capacitação</w:t>
      </w:r>
    </w:p>
    <w:p w:rsidR="00000000" w:rsidDel="00000000" w:rsidP="00000000" w:rsidRDefault="00000000" w:rsidRPr="00000000" w14:paraId="00000002">
      <w:pPr>
        <w:spacing w:line="286.3636363636363" w:lineRule="auto"/>
        <w:jc w:val="center"/>
        <w:rPr>
          <w:b w:val="1"/>
          <w:bCs w:val="1"/>
          <w:sz w:val="24"/>
          <w:szCs w:val="24"/>
        </w:rPr>
      </w:pPr>
      <w:r w:rsidDel="00000000" w:rsidR="00000000" w:rsidRPr="00000000">
        <w:rPr>
          <w:b w:val="1"/>
          <w:bCs w:val="1"/>
          <w:sz w:val="24"/>
          <w:szCs w:val="24"/>
          <w:rtl w:val="0"/>
        </w:rPr>
        <w:t xml:space="preserve">Barema de Avaliação e Pontuação dos Critérios de Análise Vinculados ao Plano de Ação e aos Indicadores do Projeto MineraMundi</w:t>
      </w:r>
    </w:p>
    <w:tbl>
      <w:tblPr>
        <w:tblStyle w:val="Table1"/>
        <w:tblW w:w="883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30"/>
        <w:gridCol w:w="2205"/>
        <w:tblGridChange w:id="0">
          <w:tblGrid>
            <w:gridCol w:w="6630"/>
            <w:gridCol w:w="22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jc w:val="center"/>
              <w:rPr>
                <w:b w:val="1"/>
                <w:bCs w:val="1"/>
                <w:sz w:val="24"/>
                <w:szCs w:val="24"/>
              </w:rPr>
            </w:pPr>
            <w:r w:rsidDel="00000000" w:rsidR="00000000" w:rsidRPr="00000000">
              <w:rPr>
                <w:b w:val="1"/>
                <w:bCs w:val="1"/>
                <w:sz w:val="24"/>
                <w:szCs w:val="24"/>
                <w:rtl w:val="0"/>
              </w:rPr>
              <w:t xml:space="preserve">Itens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jc w:val="center"/>
              <w:rPr>
                <w:b w:val="1"/>
                <w:bCs w:val="1"/>
                <w:sz w:val="24"/>
                <w:szCs w:val="24"/>
              </w:rPr>
            </w:pPr>
            <w:r w:rsidDel="00000000" w:rsidR="00000000" w:rsidRPr="00000000">
              <w:rPr>
                <w:b w:val="1"/>
                <w:bCs w:val="1"/>
                <w:sz w:val="24"/>
                <w:szCs w:val="24"/>
                <w:rtl w:val="0"/>
              </w:rPr>
              <w:t xml:space="preserve">Pontuação Máxima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spacing w:after="160" w:lineRule="auto"/>
              <w:ind w:right="-140"/>
              <w:jc w:val="center"/>
              <w:rPr>
                <w:b w:val="1"/>
                <w:bCs w:val="1"/>
                <w:sz w:val="24"/>
                <w:szCs w:val="24"/>
              </w:rPr>
            </w:pPr>
            <w:r w:rsidDel="00000000" w:rsidR="00000000" w:rsidRPr="00000000">
              <w:rPr>
                <w:b w:val="1"/>
                <w:bCs w:val="1"/>
                <w:sz w:val="24"/>
                <w:szCs w:val="24"/>
                <w:rtl w:val="0"/>
              </w:rPr>
              <w:t xml:space="preserve">Item 1. Análise do impacto da capacitação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spacing w:after="160" w:lineRule="auto"/>
              <w:ind w:right="-140"/>
              <w:jc w:val="center"/>
              <w:rPr>
                <w:b w:val="1"/>
                <w:bCs w:val="1"/>
                <w:sz w:val="24"/>
                <w:szCs w:val="24"/>
              </w:rPr>
            </w:pPr>
            <w:r w:rsidDel="00000000" w:rsidR="00000000" w:rsidRPr="00000000">
              <w:rPr>
                <w:b w:val="1"/>
                <w:bCs w:val="1"/>
                <w:sz w:val="24"/>
                <w:szCs w:val="24"/>
                <w:rtl w:val="0"/>
              </w:rPr>
              <w:t xml:space="preserve">50 pontos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ind w:right="74.17322834645688"/>
              <w:rPr>
                <w:sz w:val="24"/>
                <w:szCs w:val="24"/>
              </w:rPr>
            </w:pPr>
            <w:r w:rsidDel="00000000" w:rsidR="00000000" w:rsidRPr="00000000">
              <w:rPr>
                <w:sz w:val="24"/>
                <w:szCs w:val="24"/>
                <w:rtl w:val="0"/>
              </w:rPr>
              <w:t xml:space="preserve">Inovação – evidência de possíveis melhorias em atividades de pesquisa e ensino, serviços ou processos no ambiente e para as Universidades da rede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after="160" w:lineRule="auto"/>
              <w:ind w:right="-140"/>
              <w:jc w:val="center"/>
              <w:rPr>
                <w:sz w:val="24"/>
                <w:szCs w:val="24"/>
              </w:rPr>
            </w:pPr>
            <w:r w:rsidDel="00000000" w:rsidR="00000000" w:rsidRPr="00000000">
              <w:rPr>
                <w:sz w:val="24"/>
                <w:szCs w:val="24"/>
                <w:highlight w:val="white"/>
                <w:rtl w:val="0"/>
              </w:rPr>
              <w:t xml:space="preserve">até 12,5 pontos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ind w:right="74.17322834645688"/>
              <w:jc w:val="both"/>
              <w:rPr>
                <w:sz w:val="24"/>
                <w:szCs w:val="24"/>
              </w:rPr>
            </w:pPr>
            <w:r w:rsidDel="00000000" w:rsidR="00000000" w:rsidRPr="00000000">
              <w:rPr>
                <w:sz w:val="24"/>
                <w:szCs w:val="24"/>
                <w:highlight w:val="white"/>
                <w:rtl w:val="0"/>
              </w:rPr>
              <w:t xml:space="preserve">Replicabilidade – capacidade de converter o conhecimento obtido em conhecimento acessível, com a finalidade de compartilhá-lo, possibilitar a multiplicação e a replicabilidade da iniciativa no contexto das Universidades da rede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after="160" w:lineRule="auto"/>
              <w:ind w:right="-140"/>
              <w:jc w:val="center"/>
              <w:rPr>
                <w:sz w:val="24"/>
                <w:szCs w:val="24"/>
              </w:rPr>
            </w:pPr>
            <w:r w:rsidDel="00000000" w:rsidR="00000000" w:rsidRPr="00000000">
              <w:rPr>
                <w:sz w:val="24"/>
                <w:szCs w:val="24"/>
                <w:highlight w:val="white"/>
                <w:rtl w:val="0"/>
              </w:rPr>
              <w:t xml:space="preserve">até 12,5 pontos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ind w:right="74.17322834645688"/>
              <w:jc w:val="both"/>
              <w:rPr>
                <w:sz w:val="24"/>
                <w:szCs w:val="24"/>
              </w:rPr>
            </w:pPr>
            <w:r w:rsidDel="00000000" w:rsidR="00000000" w:rsidRPr="00000000">
              <w:rPr>
                <w:sz w:val="24"/>
                <w:szCs w:val="24"/>
                <w:highlight w:val="white"/>
                <w:rtl w:val="0"/>
              </w:rPr>
              <w:t xml:space="preserve">Relevância – consequências efetivas para o candidato, para a comunidade universitária, programa de pós-graduação ou população-alvo específica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160" w:lineRule="auto"/>
              <w:ind w:right="-140"/>
              <w:jc w:val="center"/>
              <w:rPr>
                <w:sz w:val="24"/>
                <w:szCs w:val="24"/>
              </w:rPr>
            </w:pPr>
            <w:r w:rsidDel="00000000" w:rsidR="00000000" w:rsidRPr="00000000">
              <w:rPr>
                <w:sz w:val="24"/>
                <w:szCs w:val="24"/>
                <w:highlight w:val="white"/>
                <w:rtl w:val="0"/>
              </w:rPr>
              <w:t xml:space="preserve">até 12,5 pontos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sz w:val="24"/>
                <w:szCs w:val="24"/>
              </w:rPr>
            </w:pPr>
            <w:r w:rsidDel="00000000" w:rsidR="00000000" w:rsidRPr="00000000">
              <w:rPr>
                <w:sz w:val="24"/>
                <w:szCs w:val="24"/>
                <w:rtl w:val="0"/>
              </w:rPr>
              <w:t xml:space="preserve">Resultados esperados  – adequação da proposta ao ambiente em que se insere (pesquisa científica ou rotina técnico-administrativa), evidenciando seu impacto no desenvolvimento da estratégia de internacionalização da universidade e no plano de ação do projeto Rede MineraMundi</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160" w:lineRule="auto"/>
              <w:ind w:right="-140"/>
              <w:jc w:val="center"/>
              <w:rPr>
                <w:sz w:val="24"/>
                <w:szCs w:val="24"/>
              </w:rPr>
            </w:pPr>
            <w:r w:rsidDel="00000000" w:rsidR="00000000" w:rsidRPr="00000000">
              <w:rPr>
                <w:sz w:val="24"/>
                <w:szCs w:val="24"/>
                <w:highlight w:val="white"/>
                <w:rtl w:val="0"/>
              </w:rPr>
              <w:t xml:space="preserve">até 12,5 pontos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center"/>
              <w:rPr>
                <w:b w:val="1"/>
                <w:bCs w:val="1"/>
                <w:sz w:val="24"/>
                <w:szCs w:val="24"/>
              </w:rPr>
            </w:pPr>
            <w:r w:rsidDel="00000000" w:rsidR="00000000" w:rsidRPr="00000000">
              <w:rPr>
                <w:b w:val="1"/>
                <w:bCs w:val="1"/>
                <w:sz w:val="24"/>
                <w:szCs w:val="24"/>
                <w:rtl w:val="0"/>
              </w:rPr>
              <w:t xml:space="preserve">Item 2. Relação da capacitação com os indicadores do eixo do plano de 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ind w:right="-140"/>
              <w:jc w:val="center"/>
              <w:rPr>
                <w:b w:val="1"/>
                <w:bCs w:val="1"/>
                <w:sz w:val="24"/>
                <w:szCs w:val="24"/>
                <w:highlight w:val="white"/>
              </w:rPr>
            </w:pPr>
            <w:r w:rsidDel="00000000" w:rsidR="00000000" w:rsidRPr="00000000">
              <w:rPr>
                <w:b w:val="1"/>
                <w:bCs w:val="1"/>
                <w:sz w:val="24"/>
                <w:szCs w:val="24"/>
                <w:highlight w:val="white"/>
                <w:rtl w:val="0"/>
              </w:rPr>
              <w:t xml:space="preserve">50 pontos, sendo 05 pontos para cada indicador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jc w:val="both"/>
              <w:rPr>
                <w:sz w:val="24"/>
                <w:szCs w:val="24"/>
              </w:rPr>
            </w:pPr>
            <w:r w:rsidDel="00000000" w:rsidR="00000000" w:rsidRPr="00000000">
              <w:rPr>
                <w:sz w:val="24"/>
                <w:szCs w:val="24"/>
                <w:rtl w:val="0"/>
              </w:rPr>
              <w:t xml:space="preserve">Bonificação: Candidato proveniente de ações afirmativas*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both"/>
              <w:rPr>
                <w:b w:val="1"/>
                <w:bCs w:val="1"/>
                <w:sz w:val="24"/>
                <w:szCs w:val="24"/>
              </w:rPr>
            </w:pPr>
            <w:r w:rsidDel="00000000" w:rsidR="00000000" w:rsidRPr="00000000">
              <w:rPr>
                <w:b w:val="1"/>
                <w:bCs w:val="1"/>
                <w:sz w:val="24"/>
                <w:szCs w:val="24"/>
                <w:rtl w:val="0"/>
              </w:rPr>
              <w:t xml:space="preserve">5% da pontuação total</w:t>
            </w:r>
          </w:p>
        </w:tc>
      </w:tr>
    </w:tbl>
    <w:p w:rsidR="00000000" w:rsidDel="00000000" w:rsidP="00000000" w:rsidRDefault="00000000" w:rsidRPr="00000000" w14:paraId="00000013">
      <w:pPr>
        <w:ind w:right="-140"/>
        <w:jc w:val="both"/>
        <w:rPr/>
      </w:pPr>
      <w:r w:rsidDel="00000000" w:rsidR="00000000" w:rsidRPr="00000000">
        <w:rPr>
          <w:b w:val="1"/>
          <w:bCs w:val="1"/>
          <w:sz w:val="24"/>
          <w:szCs w:val="24"/>
          <w:rtl w:val="0"/>
        </w:rPr>
        <w:t xml:space="preserve">*</w:t>
      </w:r>
      <w:r w:rsidDel="00000000" w:rsidR="00000000" w:rsidRPr="00000000">
        <w:rPr>
          <w:sz w:val="24"/>
          <w:szCs w:val="24"/>
          <w:rtl w:val="0"/>
        </w:rPr>
        <w:t xml:space="preserve">Proponentes</w:t>
      </w:r>
      <w:r w:rsidDel="00000000" w:rsidR="00000000" w:rsidRPr="00000000">
        <w:rPr>
          <w:b w:val="1"/>
          <w:bCs w:val="1"/>
          <w:sz w:val="24"/>
          <w:szCs w:val="24"/>
          <w:rtl w:val="0"/>
        </w:rPr>
        <w:t xml:space="preserve"> </w:t>
      </w:r>
      <w:r w:rsidDel="00000000" w:rsidR="00000000" w:rsidRPr="00000000">
        <w:rPr>
          <w:sz w:val="24"/>
          <w:szCs w:val="24"/>
          <w:rtl w:val="0"/>
        </w:rPr>
        <w:t xml:space="preserve">autodeclarados negros (pretos e pardos), indígenas, quilombolas, pessoas com deficiência e pessoas trans; mulheres que estiveram em licença-maternidade ou adotante nos últimos dois anos (2024–2026) ou pessoas que exercem cuidado de familiares com neurodivergência ou deficiências. As condições deverão ser devidamente comprovadas mediante comprovantes, laudos, certidão de nascimento, comprovante de guarda judicial, e/ou outro tipo de comprovação que esteja de acordo com a legislação nacional.</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